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7"/>
        <w:tblOverlap w:val="never"/>
        <w:tblW w:w="11307" w:type="dxa"/>
        <w:tblLayout w:type="fixed"/>
        <w:tblLook w:val="04A0" w:firstRow="1" w:lastRow="0" w:firstColumn="1" w:lastColumn="0" w:noHBand="0" w:noVBand="1"/>
      </w:tblPr>
      <w:tblGrid>
        <w:gridCol w:w="3085"/>
        <w:gridCol w:w="4110"/>
        <w:gridCol w:w="3828"/>
        <w:gridCol w:w="284"/>
      </w:tblGrid>
      <w:tr w:rsidR="00DA1A51" w:rsidRPr="00E555CD" w:rsidTr="00E05CCB">
        <w:trPr>
          <w:cantSplit/>
          <w:trHeight w:val="519"/>
        </w:trPr>
        <w:tc>
          <w:tcPr>
            <w:tcW w:w="3085" w:type="dxa"/>
            <w:vAlign w:val="center"/>
          </w:tcPr>
          <w:p w:rsidR="00DA1A51" w:rsidRPr="00E555CD" w:rsidRDefault="00DA1A51" w:rsidP="00E05CCB">
            <w:pPr>
              <w:spacing w:after="100" w:afterAutospacing="1" w:line="288" w:lineRule="auto"/>
              <w:ind w:left="709" w:firstLine="284"/>
              <w:rPr>
                <w:rFonts w:ascii="Arial" w:hAnsi="Arial" w:cs="Arial"/>
                <w:noProof/>
                <w:color w:val="0D0D0D"/>
                <w:sz w:val="22"/>
                <w:szCs w:val="22"/>
              </w:rPr>
            </w:pPr>
            <w:r>
              <w:rPr>
                <w:rFonts w:ascii="Arial" w:hAnsi="Arial" w:cs="Arial"/>
                <w:noProof/>
                <w:color w:val="0D0D0D"/>
                <w:sz w:val="22"/>
                <w:szCs w:val="22"/>
                <w:lang w:eastAsia="it-IT"/>
              </w:rPr>
              <w:t xml:space="preserve">  </w:t>
            </w:r>
            <w:r>
              <w:rPr>
                <w:rFonts w:ascii="Arial" w:hAnsi="Arial" w:cs="Arial"/>
                <w:noProof/>
                <w:color w:val="0D0D0D"/>
                <w:sz w:val="22"/>
                <w:szCs w:val="22"/>
                <w:lang w:eastAsia="it-IT"/>
              </w:rPr>
              <w:drawing>
                <wp:inline distT="0" distB="0" distL="0" distR="0">
                  <wp:extent cx="925195" cy="595630"/>
                  <wp:effectExtent l="0" t="0" r="8255"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595630"/>
                          </a:xfrm>
                          <a:prstGeom prst="rect">
                            <a:avLst/>
                          </a:prstGeom>
                          <a:noFill/>
                          <a:ln>
                            <a:noFill/>
                          </a:ln>
                        </pic:spPr>
                      </pic:pic>
                    </a:graphicData>
                  </a:graphic>
                </wp:inline>
              </w:drawing>
            </w:r>
          </w:p>
        </w:tc>
        <w:tc>
          <w:tcPr>
            <w:tcW w:w="4110" w:type="dxa"/>
          </w:tcPr>
          <w:p w:rsidR="00DA1A51" w:rsidRPr="00973B6F" w:rsidRDefault="00DA1A51" w:rsidP="00E05CCB">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Align w:val="center"/>
          </w:tcPr>
          <w:p w:rsidR="00DA1A51" w:rsidRPr="00E555CD" w:rsidRDefault="00DA1A51" w:rsidP="00E05CCB">
            <w:pPr>
              <w:spacing w:after="100" w:afterAutospacing="1" w:line="288" w:lineRule="auto"/>
              <w:jc w:val="center"/>
              <w:rPr>
                <w:rFonts w:ascii="Arial" w:hAnsi="Arial" w:cs="Arial"/>
                <w:noProof/>
                <w:color w:val="0D0D0D"/>
                <w:sz w:val="22"/>
                <w:szCs w:val="22"/>
              </w:rPr>
            </w:pPr>
            <w:r>
              <w:rPr>
                <w:noProof/>
                <w:lang w:eastAsia="it-IT"/>
              </w:rPr>
              <w:drawing>
                <wp:inline distT="0" distB="0" distL="0" distR="0">
                  <wp:extent cx="2275205" cy="8293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829310"/>
                          </a:xfrm>
                          <a:prstGeom prst="rect">
                            <a:avLst/>
                          </a:prstGeom>
                          <a:noFill/>
                          <a:ln>
                            <a:noFill/>
                          </a:ln>
                        </pic:spPr>
                      </pic:pic>
                    </a:graphicData>
                  </a:graphic>
                </wp:inline>
              </w:drawing>
            </w:r>
          </w:p>
        </w:tc>
        <w:tc>
          <w:tcPr>
            <w:tcW w:w="284" w:type="dxa"/>
          </w:tcPr>
          <w:p w:rsidR="00DA1A51" w:rsidRPr="00E555CD" w:rsidRDefault="00DA1A51" w:rsidP="00E05CCB">
            <w:pPr>
              <w:spacing w:after="100" w:afterAutospacing="1" w:line="288" w:lineRule="auto"/>
              <w:ind w:left="-877" w:firstLine="911"/>
              <w:jc w:val="center"/>
              <w:rPr>
                <w:rFonts w:ascii="Arial" w:hAnsi="Arial" w:cs="Arial"/>
                <w:noProof/>
                <w:color w:val="0D0D0D"/>
                <w:sz w:val="22"/>
                <w:szCs w:val="22"/>
              </w:rPr>
            </w:pPr>
          </w:p>
        </w:tc>
      </w:tr>
      <w:tr w:rsidR="00DA1A51" w:rsidRPr="00E555CD" w:rsidTr="00E05CCB">
        <w:trPr>
          <w:cantSplit/>
          <w:trHeight w:val="574"/>
        </w:trPr>
        <w:tc>
          <w:tcPr>
            <w:tcW w:w="3085" w:type="dxa"/>
          </w:tcPr>
          <w:p w:rsidR="00DA1A51" w:rsidRPr="005E2ACC" w:rsidRDefault="00DA1A51" w:rsidP="00E05CCB">
            <w:pPr>
              <w:spacing w:after="100" w:afterAutospacing="1" w:line="288" w:lineRule="auto"/>
              <w:ind w:left="993"/>
              <w:jc w:val="center"/>
              <w:rPr>
                <w:rFonts w:ascii="Arial" w:hAnsi="Arial" w:cs="Arial"/>
                <w:b/>
                <w:noProof/>
                <w:color w:val="0D0D0D"/>
                <w:sz w:val="20"/>
                <w:szCs w:val="20"/>
              </w:rPr>
            </w:pPr>
            <w:r w:rsidRPr="005E2ACC">
              <w:rPr>
                <w:rFonts w:ascii="Arial" w:hAnsi="Arial" w:cs="Arial"/>
                <w:b/>
                <w:noProof/>
                <w:color w:val="0D0D0D"/>
                <w:sz w:val="20"/>
                <w:szCs w:val="20"/>
              </w:rPr>
              <w:t>UNIONE EUROPEA</w:t>
            </w:r>
          </w:p>
        </w:tc>
        <w:tc>
          <w:tcPr>
            <w:tcW w:w="4110" w:type="dxa"/>
          </w:tcPr>
          <w:p w:rsidR="00DA1A51" w:rsidRPr="00973B6F" w:rsidRDefault="00DA1A51" w:rsidP="00E05CCB">
            <w:pPr>
              <w:pStyle w:val="Standard"/>
              <w:widowControl w:val="0"/>
              <w:spacing w:after="0" w:line="360" w:lineRule="auto"/>
              <w:jc w:val="center"/>
              <w:rPr>
                <w:rFonts w:ascii="Times New Roman" w:eastAsia="Lucida Sans Unicode" w:hAnsi="Times New Roman"/>
                <w:b/>
                <w:sz w:val="12"/>
                <w:szCs w:val="32"/>
                <w:lang w:eastAsia="ar-SA"/>
              </w:rPr>
            </w:pPr>
            <w:r w:rsidRPr="00973B6F">
              <w:rPr>
                <w:rFonts w:ascii="Times New Roman" w:eastAsia="Lucida Sans Unicode" w:hAnsi="Times New Roman"/>
                <w:b/>
                <w:sz w:val="12"/>
                <w:szCs w:val="32"/>
                <w:lang w:eastAsia="ar-SA"/>
              </w:rPr>
              <w:t xml:space="preserve">        GIUNTA REGIONALE</w:t>
            </w:r>
          </w:p>
          <w:p w:rsidR="00DA1A51" w:rsidRPr="005E2ACC" w:rsidRDefault="00DA1A51" w:rsidP="00E05CCB">
            <w:pPr>
              <w:spacing w:after="100" w:afterAutospacing="1" w:line="288" w:lineRule="auto"/>
              <w:jc w:val="center"/>
              <w:rPr>
                <w:rFonts w:ascii="Arial" w:hAnsi="Arial" w:cs="Arial"/>
                <w:b/>
                <w:noProof/>
                <w:color w:val="0D0D0D"/>
                <w:sz w:val="20"/>
                <w:szCs w:val="20"/>
              </w:rPr>
            </w:pPr>
          </w:p>
        </w:tc>
        <w:tc>
          <w:tcPr>
            <w:tcW w:w="3828" w:type="dxa"/>
          </w:tcPr>
          <w:p w:rsidR="00DA1A51" w:rsidRDefault="00DA1A51" w:rsidP="00E05CCB">
            <w:pPr>
              <w:spacing w:after="100" w:afterAutospacing="1" w:line="288" w:lineRule="auto"/>
              <w:jc w:val="center"/>
              <w:rPr>
                <w:rFonts w:ascii="Arial" w:hAnsi="Arial" w:cs="Arial"/>
                <w:b/>
                <w:noProof/>
                <w:color w:val="0D0D0D"/>
                <w:sz w:val="20"/>
                <w:szCs w:val="20"/>
              </w:rPr>
            </w:pPr>
          </w:p>
          <w:p w:rsidR="00DA1A51" w:rsidRPr="005E2ACC" w:rsidRDefault="00DA1A51" w:rsidP="00E05CCB">
            <w:pPr>
              <w:spacing w:after="100" w:afterAutospacing="1" w:line="288" w:lineRule="auto"/>
              <w:rPr>
                <w:rFonts w:ascii="Arial" w:hAnsi="Arial" w:cs="Arial"/>
                <w:b/>
                <w:noProof/>
                <w:color w:val="0D0D0D"/>
                <w:sz w:val="20"/>
                <w:szCs w:val="20"/>
              </w:rPr>
            </w:pPr>
          </w:p>
        </w:tc>
        <w:tc>
          <w:tcPr>
            <w:tcW w:w="284" w:type="dxa"/>
          </w:tcPr>
          <w:p w:rsidR="00DA1A51" w:rsidRPr="005E2ACC" w:rsidRDefault="00DA1A51" w:rsidP="00E05CCB">
            <w:pPr>
              <w:spacing w:after="100" w:afterAutospacing="1" w:line="288" w:lineRule="auto"/>
              <w:ind w:left="34"/>
              <w:jc w:val="center"/>
              <w:rPr>
                <w:rFonts w:ascii="Arial" w:hAnsi="Arial" w:cs="Arial"/>
                <w:b/>
                <w:noProof/>
                <w:color w:val="0D0D0D"/>
                <w:sz w:val="20"/>
                <w:szCs w:val="20"/>
              </w:rPr>
            </w:pPr>
          </w:p>
        </w:tc>
      </w:tr>
    </w:tbl>
    <w:p w:rsidR="00DA1A51" w:rsidRPr="00DA5550" w:rsidRDefault="00DA1A51" w:rsidP="00DA1A51">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477173511"/>
      <w:r w:rsidRPr="00DA5550">
        <w:rPr>
          <w:rFonts w:ascii="Times New Roman" w:hAnsi="Times New Roman"/>
          <w:b/>
          <w:bCs/>
          <w:iCs/>
          <w:sz w:val="28"/>
          <w:szCs w:val="28"/>
          <w:lang w:eastAsia="en-US"/>
        </w:rPr>
        <w:t>Allegato A – Modello di domanda</w:t>
      </w:r>
      <w:bookmarkEnd w:id="0"/>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proofErr w:type="spellStart"/>
      <w:r w:rsidRPr="00757696">
        <w:rPr>
          <w:rFonts w:ascii="Times New Roman" w:eastAsia="Times New Roman" w:hAnsi="Times New Roman"/>
          <w:b/>
          <w:bCs/>
          <w:sz w:val="23"/>
          <w:szCs w:val="23"/>
          <w:lang w:eastAsia="it-IT"/>
        </w:rPr>
        <w:t>Pec</w:t>
      </w:r>
      <w:proofErr w:type="spellEnd"/>
      <w:r w:rsidRPr="00757696">
        <w:rPr>
          <w:rFonts w:ascii="Times New Roman" w:eastAsia="Times New Roman" w:hAnsi="Times New Roman"/>
          <w:b/>
          <w:bCs/>
          <w:sz w:val="23"/>
          <w:szCs w:val="23"/>
          <w:lang w:eastAsia="it-IT"/>
        </w:rPr>
        <w:t xml:space="preserve">: </w:t>
      </w:r>
      <w:hyperlink r:id="rId9" w:history="1">
        <w:r w:rsidRPr="00757696">
          <w:rPr>
            <w:rFonts w:ascii="Times New Roman" w:eastAsia="Times New Roman" w:hAnsi="Times New Roman"/>
            <w:b/>
            <w:bCs/>
            <w:color w:val="0000FF"/>
            <w:sz w:val="23"/>
            <w:szCs w:val="23"/>
            <w:u w:val="single"/>
            <w:lang w:eastAsia="it-IT"/>
          </w:rPr>
          <w:t>dpd027@pec.regione.abruzzo.it</w:t>
        </w:r>
      </w:hyperlink>
      <w:r w:rsidRPr="00757696">
        <w:rPr>
          <w:rFonts w:ascii="Times New Roman" w:eastAsia="Times New Roman" w:hAnsi="Times New Roman"/>
          <w:b/>
          <w:bCs/>
          <w:sz w:val="23"/>
          <w:szCs w:val="23"/>
          <w:lang w:eastAsia="it-IT"/>
        </w:rPr>
        <w:t xml:space="preserve"> </w:t>
      </w:r>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Pr="00BA33F1" w:rsidRDefault="00DA1A51" w:rsidP="00DA1A51">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Programma Operativo FEAMP 2014/2020 (art. 43, § 1 e § 3 del  Reg. CE 508/2014)</w:t>
      </w:r>
    </w:p>
    <w:p w:rsidR="00DA1A51" w:rsidRDefault="00DA1A51" w:rsidP="00DA1A51">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Misura 1.43: “Porti, luoghi di sbarco, sale per la vendita all’asta e ripari di pesca”</w:t>
      </w:r>
    </w:p>
    <w:p w:rsidR="00E40C09" w:rsidRPr="00757696" w:rsidRDefault="00E40C09" w:rsidP="00DA1A51">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II°</w:t>
      </w:r>
      <w:bookmarkStart w:id="1" w:name="_GoBack"/>
      <w:bookmarkEnd w:id="1"/>
      <w:r>
        <w:rPr>
          <w:rFonts w:ascii="Times New Roman" w:eastAsia="Times New Roman" w:hAnsi="Times New Roman"/>
          <w:b/>
          <w:bCs/>
          <w:sz w:val="23"/>
          <w:szCs w:val="23"/>
          <w:lang w:eastAsia="it-IT"/>
        </w:rPr>
        <w:t xml:space="preserve"> Avviso pubblico approvato con determinazione DPD027/37 del 15/06/2017</w:t>
      </w:r>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Default="00DA1A51" w:rsidP="00DA1A51">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BA33F1">
        <w:rPr>
          <w:rFonts w:ascii="Times New Roman" w:eastAsia="Times New Roman" w:hAnsi="Times New Roman"/>
          <w:i/>
          <w:sz w:val="23"/>
          <w:szCs w:val="23"/>
          <w:lang w:eastAsia="it-IT"/>
        </w:rPr>
        <w:t xml:space="preserve">(barrare </w:t>
      </w:r>
      <w:r>
        <w:rPr>
          <w:rFonts w:ascii="Times New Roman" w:eastAsia="Times New Roman" w:hAnsi="Times New Roman"/>
          <w:i/>
          <w:sz w:val="23"/>
          <w:szCs w:val="23"/>
          <w:lang w:eastAsia="it-IT"/>
        </w:rPr>
        <w:t>la casella</w:t>
      </w:r>
      <w:r w:rsidRPr="00BA33F1">
        <w:rPr>
          <w:rFonts w:ascii="Times New Roman" w:eastAsia="Times New Roman" w:hAnsi="Times New Roman"/>
          <w:i/>
          <w:sz w:val="23"/>
          <w:szCs w:val="23"/>
          <w:lang w:eastAsia="it-IT"/>
        </w:rPr>
        <w:t xml:space="preserve"> sottostante corrispondente al titolo che legittima alla presentazione della domanda)</w:t>
      </w:r>
    </w:p>
    <w:p w:rsidR="00DA1A51" w:rsidRPr="00BA33F1" w:rsidRDefault="00DA1A51" w:rsidP="00DA1A51">
      <w:pPr>
        <w:autoSpaceDE w:val="0"/>
        <w:autoSpaceDN w:val="0"/>
        <w:adjustRightInd w:val="0"/>
        <w:spacing w:line="360" w:lineRule="auto"/>
        <w:jc w:val="both"/>
        <w:rPr>
          <w:rFonts w:ascii="Times New Roman" w:eastAsia="Times New Roman" w:hAnsi="Times New Roman"/>
          <w:i/>
          <w:sz w:val="23"/>
          <w:szCs w:val="23"/>
          <w:lang w:eastAsia="it-IT"/>
        </w:rPr>
      </w:pPr>
    </w:p>
    <w:tbl>
      <w:tblPr>
        <w:tblW w:w="5000" w:type="pct"/>
        <w:tblLook w:val="04A0" w:firstRow="1" w:lastRow="0" w:firstColumn="1" w:lastColumn="0" w:noHBand="0" w:noVBand="1"/>
      </w:tblPr>
      <w:tblGrid>
        <w:gridCol w:w="9854"/>
      </w:tblGrid>
      <w:tr w:rsidR="00DA1A51" w:rsidRPr="00BA33F1" w:rsidTr="00E05CCB">
        <w:tc>
          <w:tcPr>
            <w:tcW w:w="5000" w:type="pct"/>
            <w:hideMark/>
          </w:tcPr>
          <w:p w:rsidR="00DA1A51" w:rsidRPr="00BA33F1" w:rsidRDefault="00DA1A51" w:rsidP="00E05CCB">
            <w:pPr>
              <w:widowControl w:val="0"/>
              <w:suppressAutoHyphens/>
              <w:autoSpaceDE w:val="0"/>
              <w:autoSpaceDN w:val="0"/>
              <w:adjustRightInd w:val="0"/>
              <w:spacing w:after="200" w:line="276" w:lineRule="auto"/>
              <w:jc w:val="both"/>
              <w:rPr>
                <w:rFonts w:ascii="Times New Roman" w:eastAsia="Times New Roman" w:hAnsi="Times New Roman"/>
                <w:szCs w:val="20"/>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w:t>
            </w:r>
            <w:r w:rsidRPr="00BA33F1">
              <w:rPr>
                <w:rFonts w:ascii="Times New Roman" w:eastAsia="Times New Roman" w:hAnsi="Times New Roman"/>
                <w:szCs w:val="20"/>
                <w:lang w:eastAsia="it-IT"/>
              </w:rPr>
              <w:t xml:space="preserve">Dirigente del Settore ______________________________________________ (specificare qualifica) _________________________________________________ dell’Ente Pubblico/Autorità portuale di ________________________________ Partita I.V.A. __________________________, con sede nel Comune di ____________________________________ </w:t>
            </w:r>
            <w:proofErr w:type="spellStart"/>
            <w:r w:rsidRPr="00BA33F1">
              <w:rPr>
                <w:rFonts w:ascii="Times New Roman" w:eastAsia="Times New Roman" w:hAnsi="Times New Roman"/>
                <w:szCs w:val="20"/>
                <w:lang w:eastAsia="it-IT"/>
              </w:rPr>
              <w:t>Prov</w:t>
            </w:r>
            <w:proofErr w:type="spellEnd"/>
            <w:r w:rsidRPr="00BA33F1">
              <w:rPr>
                <w:rFonts w:ascii="Times New Roman" w:eastAsia="Times New Roman" w:hAnsi="Times New Roman"/>
                <w:szCs w:val="20"/>
                <w:lang w:eastAsia="it-IT"/>
              </w:rPr>
              <w:t xml:space="preserve">. _______ Via/Piazza _______________________________ telefono__________________,  </w:t>
            </w:r>
          </w:p>
          <w:p w:rsidR="00DA1A51" w:rsidRPr="00BA33F1" w:rsidRDefault="00DA1A51" w:rsidP="00E05CCB">
            <w:pPr>
              <w:widowControl w:val="0"/>
              <w:suppressAutoHyphens/>
              <w:autoSpaceDE w:val="0"/>
              <w:autoSpaceDN w:val="0"/>
              <w:adjustRightInd w:val="0"/>
              <w:spacing w:after="200" w:line="276" w:lineRule="auto"/>
              <w:jc w:val="both"/>
              <w:rPr>
                <w:rFonts w:ascii="Times New Roman" w:hAnsi="Times New Roman"/>
                <w:sz w:val="22"/>
                <w:szCs w:val="22"/>
                <w:lang w:eastAsia="it-IT"/>
              </w:rPr>
            </w:pPr>
            <w:r w:rsidRPr="00BA33F1">
              <w:rPr>
                <w:rFonts w:ascii="Times New Roman" w:eastAsia="Times New Roman" w:hAnsi="Times New Roman"/>
                <w:szCs w:val="20"/>
                <w:lang w:eastAsia="it-IT"/>
              </w:rPr>
              <w:t xml:space="preserve">e mail___________@___________________, </w:t>
            </w:r>
            <w:proofErr w:type="spellStart"/>
            <w:r w:rsidRPr="00BA33F1">
              <w:rPr>
                <w:rFonts w:ascii="Times New Roman" w:eastAsia="Times New Roman" w:hAnsi="Times New Roman"/>
                <w:szCs w:val="20"/>
                <w:lang w:eastAsia="it-IT"/>
              </w:rPr>
              <w:t>pec</w:t>
            </w:r>
            <w:proofErr w:type="spellEnd"/>
            <w:r w:rsidRPr="00BA33F1">
              <w:rPr>
                <w:rFonts w:ascii="Times New Roman" w:eastAsia="Times New Roman" w:hAnsi="Times New Roman"/>
                <w:szCs w:val="20"/>
                <w:lang w:eastAsia="it-IT"/>
              </w:rPr>
              <w:t>______________@_______________________</w:t>
            </w:r>
          </w:p>
        </w:tc>
      </w:tr>
    </w:tbl>
    <w:p w:rsidR="00DA1A5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p>
    <w:tbl>
      <w:tblPr>
        <w:tblW w:w="0" w:type="auto"/>
        <w:tblLook w:val="01E0" w:firstRow="1" w:lastRow="1" w:firstColumn="1" w:lastColumn="1" w:noHBand="0" w:noVBand="0"/>
      </w:tblPr>
      <w:tblGrid>
        <w:gridCol w:w="9815"/>
      </w:tblGrid>
      <w:tr w:rsidR="00DA1A51" w:rsidRPr="00BA33F1" w:rsidTr="00E05CCB">
        <w:tc>
          <w:tcPr>
            <w:tcW w:w="9815" w:type="dxa"/>
            <w:hideMark/>
          </w:tcPr>
          <w:p w:rsidR="00DA1A51" w:rsidRPr="00BA33F1" w:rsidRDefault="00DA1A51" w:rsidP="00E05CCB">
            <w:pPr>
              <w:autoSpaceDE w:val="0"/>
              <w:autoSpaceDN w:val="0"/>
              <w:adjustRightInd w:val="0"/>
              <w:spacing w:line="360" w:lineRule="auto"/>
              <w:jc w:val="both"/>
              <w:rPr>
                <w:rFonts w:ascii="Times New Roman" w:hAnsi="Times New Roman"/>
                <w:sz w:val="23"/>
                <w:szCs w:val="23"/>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w:t>
            </w:r>
            <w:proofErr w:type="spellStart"/>
            <w:r w:rsidRPr="00BA33F1">
              <w:rPr>
                <w:rFonts w:ascii="Times New Roman" w:hAnsi="Times New Roman"/>
                <w:sz w:val="23"/>
                <w:szCs w:val="23"/>
                <w:lang w:eastAsia="it-IT"/>
              </w:rPr>
              <w:t>Prov</w:t>
            </w:r>
            <w:proofErr w:type="spellEnd"/>
            <w:r w:rsidRPr="00BA33F1">
              <w:rPr>
                <w:rFonts w:ascii="Times New Roman" w:hAnsi="Times New Roman"/>
                <w:sz w:val="23"/>
                <w:szCs w:val="23"/>
                <w:lang w:eastAsia="it-IT"/>
              </w:rPr>
              <w:t xml:space="preserve"> ____ Via/P.zza_____________________ e sede operativa nel Comune di _____________ </w:t>
            </w:r>
            <w:proofErr w:type="spellStart"/>
            <w:r w:rsidRPr="00BA33F1">
              <w:rPr>
                <w:rFonts w:ascii="Times New Roman" w:hAnsi="Times New Roman"/>
                <w:sz w:val="23"/>
                <w:szCs w:val="23"/>
                <w:lang w:eastAsia="it-IT"/>
              </w:rPr>
              <w:t>Prov</w:t>
            </w:r>
            <w:proofErr w:type="spellEnd"/>
            <w:r w:rsidRPr="00BA33F1">
              <w:rPr>
                <w:rFonts w:ascii="Times New Roman" w:hAnsi="Times New Roman"/>
                <w:sz w:val="23"/>
                <w:szCs w:val="23"/>
                <w:lang w:eastAsia="it-IT"/>
              </w:rPr>
              <w:t xml:space="preserve"> _____ Via/P.zza _______________________, telefono_______________ </w:t>
            </w:r>
          </w:p>
          <w:p w:rsidR="00DA1A51" w:rsidRPr="00BA33F1" w:rsidRDefault="00DA1A51" w:rsidP="00E05CCB">
            <w:pPr>
              <w:autoSpaceDE w:val="0"/>
              <w:autoSpaceDN w:val="0"/>
              <w:adjustRightInd w:val="0"/>
              <w:spacing w:line="360" w:lineRule="auto"/>
              <w:jc w:val="both"/>
              <w:rPr>
                <w:rFonts w:ascii="Times New Roman" w:hAnsi="Times New Roman"/>
                <w:sz w:val="23"/>
                <w:szCs w:val="23"/>
                <w:lang w:eastAsia="it-IT"/>
              </w:rPr>
            </w:pPr>
            <w:r w:rsidRPr="00BA33F1">
              <w:rPr>
                <w:rFonts w:ascii="Times New Roman" w:hAnsi="Times New Roman"/>
                <w:sz w:val="23"/>
                <w:szCs w:val="23"/>
                <w:lang w:eastAsia="it-IT"/>
              </w:rPr>
              <w:t xml:space="preserve">e mail___________@_________________, </w:t>
            </w:r>
            <w:proofErr w:type="spellStart"/>
            <w:r w:rsidRPr="00BA33F1">
              <w:rPr>
                <w:rFonts w:ascii="Times New Roman" w:hAnsi="Times New Roman"/>
                <w:sz w:val="23"/>
                <w:szCs w:val="23"/>
                <w:lang w:eastAsia="it-IT"/>
              </w:rPr>
              <w:t>pec</w:t>
            </w:r>
            <w:proofErr w:type="spellEnd"/>
            <w:r w:rsidRPr="00BA33F1">
              <w:rPr>
                <w:rFonts w:ascii="Times New Roman" w:hAnsi="Times New Roman"/>
                <w:sz w:val="23"/>
                <w:szCs w:val="23"/>
                <w:lang w:eastAsia="it-IT"/>
              </w:rPr>
              <w:t xml:space="preserve">______________@_______________________ </w:t>
            </w:r>
          </w:p>
        </w:tc>
      </w:tr>
    </w:tbl>
    <w:p w:rsidR="00DA1A51" w:rsidRPr="00BA33F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p>
    <w:p w:rsidR="00DA1A51" w:rsidRDefault="00DA1A51" w:rsidP="00DA1A51">
      <w:pPr>
        <w:autoSpaceDE w:val="0"/>
        <w:autoSpaceDN w:val="0"/>
        <w:adjustRightInd w:val="0"/>
        <w:spacing w:line="360" w:lineRule="auto"/>
        <w:jc w:val="center"/>
        <w:rPr>
          <w:rFonts w:ascii="Times New Roman" w:eastAsia="Times New Roman" w:hAnsi="Times New Roman"/>
          <w:b/>
          <w:sz w:val="23"/>
          <w:szCs w:val="23"/>
          <w:lang w:eastAsia="it-IT"/>
        </w:rPr>
      </w:pPr>
    </w:p>
    <w:p w:rsidR="00DA1A51" w:rsidRPr="00BA33F1" w:rsidRDefault="00DA1A51" w:rsidP="00DA1A51">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lastRenderedPageBreak/>
        <w:t>CHIEDE</w:t>
      </w:r>
    </w:p>
    <w:p w:rsidR="00DA1A51" w:rsidRPr="00BA33F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ai sensi del Programma Operativo FEAMP 2014/2020, Misura 1.43, denominata “Porti, luoghi di sbarco, sale per la vendita all’asta e ripari di pesca” 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DA1A51" w:rsidRPr="001E0503" w:rsidRDefault="00DA1A51" w:rsidP="00DA1A51">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DA1A51" w:rsidRPr="001E0503" w:rsidRDefault="00DA1A51" w:rsidP="00DA1A51">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si trova in stato di fallimento, di liquidazione coatta, di</w:t>
      </w:r>
      <w:r>
        <w:rPr>
          <w:rFonts w:ascii="TimesNewRoman" w:eastAsia="Times New Roman" w:hAnsi="TimesNewRoman" w:cs="TimesNewRoman"/>
          <w:sz w:val="23"/>
          <w:szCs w:val="23"/>
          <w:lang w:eastAsia="it-IT"/>
        </w:rPr>
        <w:t xml:space="preserve"> amministrazione controll</w:t>
      </w:r>
      <w:r w:rsidRPr="001E0503">
        <w:rPr>
          <w:rFonts w:ascii="TimesNewRoman" w:eastAsia="Times New Roman" w:hAnsi="TimesNewRoman" w:cs="TimesNewRoman"/>
          <w:sz w:val="23"/>
          <w:szCs w:val="23"/>
          <w:lang w:eastAsia="it-IT"/>
        </w:rPr>
        <w:t>ata, di concordato preventivo o in qualsiasi situazione equivalente secondo la legislazione vigente, ovvero non ha in corso alcun procedimento per la dichiarazione di una di tali situazioni e n</w:t>
      </w:r>
      <w:r>
        <w:rPr>
          <w:rFonts w:ascii="TimesNewRoman" w:eastAsia="Times New Roman" w:hAnsi="TimesNewRoman" w:cs="TimesNewRoman"/>
          <w:sz w:val="23"/>
          <w:szCs w:val="23"/>
          <w:lang w:eastAsia="it-IT"/>
        </w:rPr>
        <w:t>on versa in stato di cessazione d</w:t>
      </w:r>
      <w:r w:rsidRPr="001E0503">
        <w:rPr>
          <w:rFonts w:ascii="TimesNewRoman" w:eastAsia="Times New Roman" w:hAnsi="TimesNewRoman" w:cs="TimesNewRoman"/>
          <w:sz w:val="23"/>
          <w:szCs w:val="23"/>
          <w:lang w:eastAsia="it-IT"/>
        </w:rPr>
        <w:t>’a</w:t>
      </w:r>
      <w:r>
        <w:rPr>
          <w:rFonts w:ascii="TimesNewRoman" w:eastAsia="Times New Roman" w:hAnsi="TimesNewRoman" w:cs="TimesNewRoman"/>
          <w:sz w:val="23"/>
          <w:szCs w:val="23"/>
          <w:lang w:eastAsia="it-IT"/>
        </w:rPr>
        <w:t>ttività</w:t>
      </w:r>
      <w:r w:rsidRPr="001E0503">
        <w:rPr>
          <w:rFonts w:ascii="TimesNewRoman" w:eastAsia="Times New Roman" w:hAnsi="TimesNewRoman" w:cs="TimesNewRoman"/>
          <w:sz w:val="23"/>
          <w:szCs w:val="23"/>
          <w:lang w:eastAsia="it-IT"/>
        </w:rPr>
        <w:t>;</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DA1A51" w:rsidRPr="00385325"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non </w:t>
      </w:r>
      <w:r>
        <w:rPr>
          <w:rFonts w:ascii="TimesNewRoman" w:eastAsia="Times New Roman" w:hAnsi="TimesNewRoman" w:cs="TimesNewRoman"/>
          <w:sz w:val="23"/>
          <w:szCs w:val="23"/>
          <w:lang w:eastAsia="it-IT"/>
        </w:rPr>
        <w:t>rientra nei casi di inammissibilità previsti</w:t>
      </w:r>
      <w:r w:rsidRPr="001E0503">
        <w:rPr>
          <w:rFonts w:ascii="TimesNewRoman" w:eastAsia="Times New Roman" w:hAnsi="TimesNewRoman" w:cs="TimesNewRoman"/>
          <w:sz w:val="23"/>
          <w:szCs w:val="23"/>
          <w:lang w:eastAsia="it-IT"/>
        </w:rPr>
        <w:t xml:space="preserve"> </w:t>
      </w:r>
      <w:r>
        <w:rPr>
          <w:rFonts w:ascii="TimesNewRoman" w:eastAsia="Times New Roman" w:hAnsi="TimesNewRoman" w:cs="TimesNewRoman"/>
          <w:sz w:val="23"/>
          <w:szCs w:val="23"/>
          <w:lang w:eastAsia="it-IT"/>
        </w:rPr>
        <w:t>dai paragrafi 1 e 3 dell’art. 10 del Reg (U</w:t>
      </w:r>
      <w:r w:rsidRPr="001E0503">
        <w:rPr>
          <w:rFonts w:ascii="TimesNewRoman" w:eastAsia="Times New Roman" w:hAnsi="TimesNewRoman" w:cs="TimesNewRoman"/>
          <w:sz w:val="23"/>
          <w:szCs w:val="23"/>
          <w:lang w:eastAsia="it-IT"/>
        </w:rPr>
        <w:t xml:space="preserve">E) </w:t>
      </w:r>
      <w:r w:rsidRPr="00385325">
        <w:rPr>
          <w:rFonts w:ascii="TimesNewRoman" w:eastAsia="Times New Roman" w:hAnsi="TimesNewRoman" w:cs="TimesNewRoman"/>
          <w:sz w:val="23"/>
          <w:szCs w:val="23"/>
          <w:lang w:eastAsia="it-IT"/>
        </w:rPr>
        <w:t>n. 508</w:t>
      </w:r>
      <w:r w:rsidRPr="001E0503">
        <w:rPr>
          <w:rFonts w:ascii="TimesNewRoman" w:eastAsia="Times New Roman" w:hAnsi="TimesNewRoman" w:cs="TimesNewRoman"/>
          <w:sz w:val="23"/>
          <w:szCs w:val="23"/>
          <w:lang w:eastAsia="it-IT"/>
        </w:rPr>
        <w:t>/</w:t>
      </w:r>
      <w:r w:rsidRPr="00385325">
        <w:rPr>
          <w:rFonts w:ascii="TimesNewRoman" w:eastAsia="Times New Roman" w:hAnsi="TimesNewRoman" w:cs="TimesNewRoman"/>
          <w:sz w:val="23"/>
          <w:szCs w:val="23"/>
          <w:lang w:eastAsia="it-IT"/>
        </w:rPr>
        <w:t>2014</w:t>
      </w:r>
      <w:r w:rsidRPr="001E0503">
        <w:rPr>
          <w:rFonts w:ascii="TimesNewRoman" w:eastAsia="Times New Roman" w:hAnsi="TimesNewRoman" w:cs="TimesNewRoman"/>
          <w:sz w:val="23"/>
          <w:szCs w:val="23"/>
          <w:lang w:eastAsia="it-IT"/>
        </w:rPr>
        <w:t>;</w:t>
      </w:r>
    </w:p>
    <w:p w:rsidR="00DA1A51" w:rsidRPr="00F02496"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F02496">
        <w:rPr>
          <w:rFonts w:ascii="TimesNewRoman" w:eastAsia="Times New Roman" w:hAnsi="TimesNewRoman" w:cs="TimesNewRoman"/>
          <w:sz w:val="23"/>
          <w:szCs w:val="23"/>
          <w:lang w:eastAsia="it-IT"/>
        </w:rPr>
        <w:t xml:space="preserve">non sussistono </w:t>
      </w:r>
      <w:r>
        <w:rPr>
          <w:rFonts w:ascii="TimesNewRoman" w:eastAsia="Times New Roman" w:hAnsi="TimesNewRoman" w:cs="TimesNewRoman"/>
          <w:sz w:val="23"/>
          <w:szCs w:val="23"/>
          <w:lang w:eastAsia="it-IT"/>
        </w:rPr>
        <w:t xml:space="preserve">a proprio carico, </w:t>
      </w:r>
      <w:r w:rsidRPr="00F02496">
        <w:rPr>
          <w:rFonts w:ascii="TimesNewRoman" w:eastAsia="Times New Roman" w:hAnsi="TimesNewRoman" w:cs="TimesNewRoman"/>
          <w:sz w:val="23"/>
          <w:szCs w:val="23"/>
          <w:lang w:eastAsia="it-IT"/>
        </w:rPr>
        <w:t>cause di divieto, di decadenza o di sospensione, di cui all’art. 10 della L. n.575 del 31 maggio 1965 e successive modificazioni;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ento ai sensi del Programma FEP 2007/2013</w:t>
      </w:r>
      <w:r w:rsidRPr="001E0503">
        <w:rPr>
          <w:rFonts w:ascii="TimesNewRoman" w:eastAsia="Times New Roman" w:hAnsi="TimesNewRoman" w:cs="TimesNewRoman"/>
          <w:sz w:val="23"/>
          <w:szCs w:val="23"/>
          <w:lang w:eastAsia="it-IT"/>
        </w:rPr>
        <w:t>, sulla base di provvedimenti di revoca dei benefici concessi;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non ha beneficiato per l’investimento per il quale inoltra la presente istanza di altre agevolazioni disposte da programmi comunitari e/o da disposizioni statali e regionali e di non proporre in futuro </w:t>
      </w:r>
      <w:r w:rsidRPr="001E0503">
        <w:rPr>
          <w:rFonts w:ascii="TimesNewRoman" w:eastAsia="Times New Roman" w:hAnsi="TimesNewRoman" w:cs="TimesNewRoman"/>
          <w:sz w:val="23"/>
          <w:szCs w:val="23"/>
          <w:lang w:eastAsia="it-IT"/>
        </w:rPr>
        <w:lastRenderedPageBreak/>
        <w:t>istanze in tal senso, essendo edotto del divieto di cumulo di più benefici sullo stesso investimento;</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gli interventi previsti nell’istanza non attengono la sostituzione di beni che hanno fruito di un finanziamento pu</w:t>
      </w:r>
      <w:r>
        <w:rPr>
          <w:rFonts w:ascii="TimesNewRoman" w:eastAsia="Times New Roman" w:hAnsi="TimesNewRoman" w:cs="TimesNewRoman"/>
          <w:sz w:val="23"/>
          <w:szCs w:val="23"/>
          <w:lang w:eastAsia="it-IT"/>
        </w:rPr>
        <w:t>bblico nel corso dei 5</w:t>
      </w:r>
      <w:r w:rsidRPr="001E0503">
        <w:rPr>
          <w:rFonts w:ascii="TimesNewRoman" w:eastAsia="Times New Roman" w:hAnsi="TimesNewRoman" w:cs="TimesNewRoman"/>
          <w:sz w:val="23"/>
          <w:szCs w:val="23"/>
          <w:lang w:eastAsia="it-IT"/>
        </w:rPr>
        <w:t xml:space="preserve"> anni precedenti la data di </w:t>
      </w:r>
      <w:r>
        <w:rPr>
          <w:rFonts w:ascii="TimesNewRoman" w:eastAsia="Times New Roman" w:hAnsi="TimesNewRoman" w:cs="TimesNewRoman"/>
          <w:sz w:val="23"/>
          <w:szCs w:val="23"/>
          <w:lang w:eastAsia="it-IT"/>
        </w:rPr>
        <w:t>pubblicazione del presente Avviso</w:t>
      </w:r>
      <w:r w:rsidRPr="001E0503">
        <w:rPr>
          <w:rFonts w:ascii="TimesNewRoman" w:eastAsia="Times New Roman" w:hAnsi="TimesNewRoman" w:cs="TimesNewRoman"/>
          <w:sz w:val="23"/>
          <w:szCs w:val="23"/>
          <w:lang w:eastAsia="it-IT"/>
        </w:rPr>
        <w:t>.</w:t>
      </w:r>
    </w:p>
    <w:p w:rsidR="00DA1A51" w:rsidRPr="001E0503" w:rsidRDefault="00DA1A51" w:rsidP="00DA1A51">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DA1A51" w:rsidRPr="001E0503" w:rsidRDefault="00DA1A51" w:rsidP="00DA1A51">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DA1A51" w:rsidRPr="00887B70" w:rsidRDefault="00DA1A51" w:rsidP="00DA1A51">
      <w:pPr>
        <w:spacing w:after="240" w:line="276" w:lineRule="auto"/>
        <w:ind w:left="720"/>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DA1A51" w:rsidRPr="00887B70" w:rsidRDefault="00DA1A51" w:rsidP="00DA1A51">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DA1A51" w:rsidRPr="002A3688" w:rsidRDefault="00DA1A51" w:rsidP="00DA1A51">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DA1A51" w:rsidRPr="002A3688" w:rsidRDefault="00DA1A51" w:rsidP="00DA1A51">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DA1A51" w:rsidRPr="00C42B61" w:rsidRDefault="00DA1A51" w:rsidP="00DA1A5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DA1A51" w:rsidRPr="00C42B61" w:rsidRDefault="00DA1A51" w:rsidP="00DA1A5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DA1A51" w:rsidRPr="00B2445D" w:rsidRDefault="00DA1A51" w:rsidP="00DA1A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DA1A51" w:rsidRPr="00B2445D" w:rsidRDefault="00DA1A51" w:rsidP="00DA1A51">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DA1A51" w:rsidRPr="002A3688" w:rsidRDefault="00DA1A51" w:rsidP="00DA1A51">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DA1A51" w:rsidRPr="002A3688" w:rsidRDefault="00DA1A51" w:rsidP="00DA1A51">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DA1A51" w:rsidRPr="002A3688" w:rsidRDefault="00DA1A51" w:rsidP="00DA1A51">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DA1A51" w:rsidRPr="002A3688" w:rsidRDefault="00DA1A51" w:rsidP="00DA1A51">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DA1A51" w:rsidRDefault="00DA1A51" w:rsidP="00DA1A51">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815FB3" w:rsidRDefault="00DA1A51" w:rsidP="00DA1A51">
      <w:pPr>
        <w:spacing w:after="200" w:line="276" w:lineRule="auto"/>
        <w:jc w:val="center"/>
      </w:pPr>
      <w:r>
        <w:rPr>
          <w:rFonts w:ascii="Times New Roman" w:hAnsi="Times New Roman"/>
          <w:noProof/>
          <w:sz w:val="22"/>
          <w:szCs w:val="22"/>
          <w:lang w:eastAsia="it-IT"/>
        </w:rPr>
        <w:t>In fede  (firma del richiedente)</w:t>
      </w:r>
    </w:p>
    <w:sectPr w:rsidR="00815F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9D"/>
    <w:rsid w:val="003D149D"/>
    <w:rsid w:val="00815FB3"/>
    <w:rsid w:val="00DA1A51"/>
    <w:rsid w:val="00E40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51"/>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1A51"/>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51"/>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1A51"/>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d027@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3</cp:revision>
  <dcterms:created xsi:type="dcterms:W3CDTF">2017-03-13T12:33:00Z</dcterms:created>
  <dcterms:modified xsi:type="dcterms:W3CDTF">2017-06-19T09:40:00Z</dcterms:modified>
</cp:coreProperties>
</file>